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2500" w:type="pct"/>
        <w:tblCellSpacing w:w="15" w:type="dxa"/>
        <w:tblInd w:w="30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770"/>
      </w:tblGrid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Документ подписан ЭП от 17.05.2022 14:59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Владелец: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Аверьянов Иван Васильевич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ГЛАВА АДМИНИСТРАЦИИ ТУРГЕНЕВСКОГО ГОРОДСКОГО ПОСЕЛЕНИЯ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АДМИНИСТРАЦИЯ ТУРГЕНЕВСКОГО ГОРОДСКОГО ПОСЕЛЕНИЯ АРДАТОВСКОГО МУНИЦИПАЛЬНОГО РАЙОНА РЕСПУБЛИКИ МОРДОВИЯ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Сертификат: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1D775F00B9ADF4844D4925D61996FFC0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Алгоритм: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ГОСТ Р 34.10-2012 256 бит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Действителен: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 06.10.2021 по 06.10.2022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Издатель: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ООО "КОМПАНИЯ "ТЕНЗОР"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/>
      <w:bookmarkStart w:id="0" w:name="sub_1000"/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   </w:t>
      </w: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АДМИНИСТРАЦИЯ</w:t>
      </w:r>
      <w:bookmarkEnd w:id="0"/>
      <w:r/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 ТУРГЕНЕВСКОГО ГОРОДСКОГО ПОСЕЛЕНИЯ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АРДАТОВСКОГО МУНИЦИПАЛЬНОГО РАЙОНА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РЕСПУБЛИКА МОРДОВИЯ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ПОСТАНОВЛЕНИЕ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ОТ 08 АПРЕЛЯ  2022 ГОДА  № 31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Р.П. ТУРГЕНЕВО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widowControl w:val="false"/>
        <w:pBdr/>
        <w:spacing w:after="0" w:before="0"/>
        <w:ind w:firstLine="720"/>
        <w:jc w:val="both"/>
        <w:rPr>
          <w:sz w:val="32"/>
          <w:szCs w:val="32"/>
        </w:rPr>
      </w:pPr>
      <w:r>
        <w:rPr>
          <w:rFonts w:ascii="Arial" w:hAnsi="Arial" w:eastAsia="Arial" w:cs="Arial"/>
          <w:sz w:val="32"/>
          <w:szCs w:val="32"/>
        </w:rPr>
        <w:t xml:space="preserve"> </w:t>
      </w:r>
      <w:r>
        <w:rPr>
          <w:sz w:val="32"/>
          <w:szCs w:val="32"/>
        </w:rPr>
      </w:r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ОБ УТВЕРЖДЕНИИ АДМИНИСТРАТИВНОГО РЕГЛАМЕНТА АДМИНИСТРАЦИИ ТУРГЕНЕВСКОГО ГОРОДСКОГО ПОСЕЛЕНИЯ ПО ПРЕДОСТАВЛЕНИЮ МУНИЦИПАЛЬНОЙ УСЛУГИ «ПЕРЕВОД ЖИЛОГО (НЕЖИЛОГО) ПОМЕЩЕНИЯ в НЕЖИЛОЕ (ЖИЛОЕ)»</w:t>
      </w: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widowControl w:val="false"/>
        <w:pBdr/>
        <w:spacing w:after="0" w:before="0"/>
        <w:ind w:firstLine="720"/>
        <w:jc w:val="center"/>
        <w:rPr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widowControl w:val="false"/>
        <w:pBdr/>
        <w:spacing w:after="0" w:before="0"/>
        <w:ind w:firstLine="720"/>
        <w:jc w:val="center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 </w:t>
      </w:r>
      <w:r>
        <w:rPr>
          <w:sz w:val="20"/>
          <w:szCs w:val="2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соответствии с Федеральным законом от 6 октября 2003 года №131-ФЗ «</w:t>
      </w:r>
      <w:hyperlink r:id="rId8" w:tooltip="http://rnla-service.scli.ru:8080/rnla-links/ws/content/act/96e20c02-1b12-465a-b64c-24aa92270007.html" w:history="1">
        <w:bookmarkStart w:id="1" w:name="96e20c02-1b12-465a-b64c-24aa92270007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общих принципах организации местного самоуправления в Российской Федерации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», принимая во внимание Федеральный закон от 27 июля 2010 года №210-ФЗ «</w:t>
      </w:r>
      <w:hyperlink r:id="rId9" w:tooltip="http://rnla-service.scli.ru:8080/rnla-links/ws/content/act/bba0bfb1-06c7-4e50-a8d3-fe1045784bf1.html" w:history="1">
        <w:bookmarkStart w:id="2" w:name="bba0bfb1-06c7-4e50-a8d3-fe1045784bf1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организации предоставления государственных и муниципальных услуг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», администрация Тургеневского городского поселения постановляет: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 Утвердить прилагаемый административный регламент администрации Тургеневского городского поселения  по предоставлению муниципальной услуги «Перевод жилого (нежилого) помещения в нежилое (жилое) помещение».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 Контроль за исполнением настоящего постановления возложить на и.о.заместителя Главы администрации – Максимову Е.Я.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 Настоящее постановление вступает в силу после его официального опубликования на официальном сайте органов местного самоуправления Тургеневского городского поселения  в сети «Интернет» по адресу:  https://gp-turgenevo.ardatov.e-mordovia.ru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Глава администрации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Тургеневского городского поселения                           И.В.Аверьянов 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widowControl w:val="false"/>
        <w:pBdr/>
        <w:spacing w:after="0" w:before="0"/>
        <w:ind/>
        <w:jc w:val="right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 </w:t>
      </w:r>
      <w:r>
        <w:rPr>
          <w:sz w:val="22"/>
          <w:szCs w:val="22"/>
        </w:rPr>
      </w:r>
    </w:p>
    <w:p>
      <w:pPr>
        <w:widowControl w:val="false"/>
        <w:pBdr/>
        <w:spacing w:after="108" w:before="0"/>
        <w:ind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>
      <w:pPr>
        <w:widowControl w:val="false"/>
        <w:pBdr/>
        <w:spacing w:after="108" w:before="0"/>
        <w:ind/>
        <w:jc w:val="right"/>
        <w:rPr/>
      </w:pPr>
      <w:r>
        <w:t xml:space="preserve"> </w:t>
      </w:r>
      <w:r/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Утвержден постановлением администрации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Тургеневского городского поселения 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№31   от 08.04.2022г. 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Административный регламент</w:t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br/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администрации Тургеневского городского поселения  по предоставлению муниципальной услуги "Перевод жилого (нежилого) помещения в нежилое (жилое) помещение"</w:t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br/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/>
      <w:bookmarkStart w:id="3" w:name="sub_100"/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Раздел 1. Общие положения</w:t>
      </w:r>
      <w:bookmarkEnd w:id="3"/>
      <w:r/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widowControl w:val="false"/>
        <w:pBdr/>
        <w:spacing w:after="108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4" w:name="sub_11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1. Предмет регулирования административного регламента</w:t>
      </w:r>
      <w:bookmarkEnd w:id="4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" w:name="sub_100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 Наимено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вание административного регламента - административный регламент администрации Тургеневского городского поселения  по предоставлению муниципальной услуги "Перевод жилого (нежилого) помещения в нежилое (жилое) помещение" (далее - Административный регламент).</w:t>
      </w:r>
      <w:bookmarkEnd w:id="5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" w:name="sub_100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 Административный регламент определяет сроки, последовательность действий (административных процедур) по предоставлению муниципальной услуги, порядок обжалования действий (бездействия) и решений, принятых в ходе предоставления муниципальной услуги.</w:t>
      </w:r>
      <w:bookmarkEnd w:id="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7" w:name="sub_12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2. Категории заявителей</w:t>
      </w:r>
      <w:bookmarkEnd w:id="7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" w:name="sub_100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3. Заявителями являются физические или юридические лица либо индивидуальные предприниматели, заинтересованные в переводе жилого (нежилого) помещения в нежилое (жилое) помещение (далее - заявители).</w:t>
      </w:r>
      <w:bookmarkEnd w:id="8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/>
      <w:bookmarkStart w:id="9" w:name="sub_200"/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Раздел 2. Стандарт предоставления муниципальной услуги</w:t>
      </w:r>
      <w:bookmarkEnd w:id="9"/>
      <w:r/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widowControl w:val="false"/>
        <w:pBdr/>
        <w:spacing w:after="108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10" w:name="sub_21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1. Основные положения стандарта предоставления муниципальной услуги</w:t>
      </w:r>
      <w:bookmarkEnd w:id="10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1" w:name="sub_100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4. Наименование муниципальной услуги: «Перевод жилого (нежилого) помещения в нежилое (жилое) помещение» (далее - муниципальная услуга).</w:t>
      </w:r>
      <w:bookmarkEnd w:id="11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2" w:name="sub_100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5. Муниципальная услуга предоставляется в 45-дневный срок со дня регистрации заявления о предоставлении услуги.</w:t>
      </w:r>
      <w:bookmarkEnd w:id="12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представления заявителем документов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 городского поселения Рузаевка.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3" w:name="sub_100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6. Результатами предоставления муниципальной услуги являются:</w:t>
      </w:r>
      <w:bookmarkEnd w:id="1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постановление администра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ции Тургеневского городского поселения  о переводе жилого (нежилого) помещения в нежилое (жилое) помещение (далее - постановление о переводе) и уведомления о переводе жилого (нежилого) помещения в нежилое (жилое) помещение (далее - уведомление о переводе);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уведомление администрации Тургеневского городского поселения  об отказе в переводе жилого (нежилого) помещения в нежилое (жилое) помещение (далее - уведомление об отказе).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4" w:name="sub_100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7. Перечень документов, прилагаемых к заявлению, указан в пункте 19 настоящего Административного регламента. Рассмотрение заявления осуществляется в соответствии с положениями настоящего Административного регламента.</w:t>
      </w:r>
      <w:bookmarkEnd w:id="1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15" w:name="sub_22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2. Наименование органа местного самоуправления, предоставляющего муниципальную услугу</w:t>
      </w:r>
      <w:bookmarkEnd w:id="15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6" w:name="sub_100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8. Предоставление муниципальной услуги осуществляется администрацией Тургеневского городского поселения   (далее - Администрация), через ее структурное подразделение: отдел архитек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туры и градостроительства администрации  Ардатовского муниципального района  (далее - отдел архитектуры и градостроительства) в части рассмотрения заявления по предоставлению муниципальной услуги, либо подготовки мотивированного ответа заявителю об отказе.</w:t>
      </w:r>
      <w:bookmarkEnd w:id="1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9. При предоставлении муниципальной услуги администрация осуществляет взаимодействие с: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отделом архитектуры и градостроительства администрации Ардатовского муниципального района Республики Мордовия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государственным автономным учреждением Республики Мордовия «Многофункциональный центр предоставления государственных и муниципальных услуг» (далее - ГАУ "МФЦ");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Управлением Росреестра по Республике Мордовия;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Межрайонной инспекцией Федеральной налоговой службы России № 2 по Республике Мордовия.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5) иными организациями, имеющими сведения, необходимые для подготовки в установленном порядке документов для предоставления муниципальной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7" w:name="sub_100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9.1 В соответствии Федеральным законом от 27 июля 2010 года № 210-ФЗ "</w:t>
      </w:r>
      <w:bookmarkEnd w:id="17"/>
      <w:r/>
      <w:hyperlink r:id="rId10" w:tooltip="http://rnla-service.scli.ru:8080/rnla-links/ws/content/act/bba0bfb1-06c7-4e50-a8d3-fe1045784bf1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организации предоставления государственных и муниципальных услуг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 (далее – Федеральный закон №210-ФЗ) для подачи документов, необходимых для предоставления муниципальной услуги и получения необходимой информации, заявитель вправе обратиться в ГАУ «МФЦ».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18" w:name="sub_23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3. Правовые основания предоставления муниципальной услуги</w:t>
      </w:r>
      <w:bookmarkEnd w:id="18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9" w:name="sub_101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10. Правовые основания для предоставления муниципальной услуги:</w:t>
      </w:r>
      <w:bookmarkEnd w:id="19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</w:t>
      </w:r>
      <w:hyperlink r:id="rId11" w:tooltip="http://rnla-service.scli.ru:8080/rnla-links/ws/content/act/15d4560c-d530-4955-bf7e-f734337ae80b.html" w:history="1">
        <w:bookmarkStart w:id="20" w:name="15d4560c-d530-4955-bf7e-f734337ae80b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Конституция</w:t>
        </w:r>
      </w:hyperlink>
      <w:r/>
      <w:bookmarkEnd w:id="2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Российской Федерации (принята на всенародном голосовании 12 декабря 1993 г. «Российская газета», 25 декабря 1993 года, №237);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</w:t>
      </w:r>
      <w:hyperlink r:id="rId12" w:tooltip="http://rnla-service.scli.ru:8080/rnla-links/ws/content/act/370ba400-14c4-4cdb-8a8b-b11f2a1a2f55.html" w:history="1">
        <w:bookmarkStart w:id="21" w:name="370ba400-14c4-4cdb-8a8b-b11f2a1a2f55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Жилищный кодекс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Российской Федерации от 29 декабря 2004 года № 188-ФЗ;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Федеральный закон от 27 июля 2010 года № 210-ФЗ "</w:t>
      </w:r>
      <w:hyperlink r:id="rId13" w:tooltip="http://rnla-service.scli.ru:8080/rnla-links/ws/content/act/bba0bfb1-06c7-4e50-a8d3-fe1045784bf1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организации предоставления государственных и муниципальных услуг</w:t>
        </w:r>
      </w:hyperlink>
      <w:r/>
      <w:bookmarkEnd w:id="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Федеральный закон от 24 июля 2007 года № 221-ФЗ "</w:t>
      </w:r>
      <w:hyperlink r:id="rId14" w:tooltip="http://rnla-service.scli.ru:8080/rnla-links/ws/content/act/17efdf25-592a-4662-871d-9782b1a135cf.html" w:history="1">
        <w:bookmarkStart w:id="22" w:name="17efdf25-592a-4662-871d-9782b1a135cf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 кадастровой деятельности</w:t>
        </w:r>
      </w:hyperlink>
      <w:r/>
      <w:bookmarkEnd w:id="2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5) Федеральный закон от 27 июля 2006 года № 152-ФЗ "</w:t>
      </w:r>
      <w:hyperlink r:id="rId15" w:tooltip="http://rnla-service.scli.ru:8080/rnla-links/ws/content/act/0a02e7ab-81dc-427b-9bb7-abfb1e14bdf3.html" w:history="1">
        <w:bookmarkStart w:id="23" w:name="0a02e7ab-81dc-427b-9bb7-abfb1e14bdf3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 персональных данны</w:t>
        </w:r>
      </w:hyperlink>
      <w:r/>
      <w:bookmarkEnd w:id="2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х";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6) Федеральный закон от 6 октября 2003 года № 131-ФЗ "</w:t>
      </w:r>
      <w:hyperlink r:id="rId16" w:tooltip="http://rnla-service.scli.ru:8080/rnla-links/ws/content/act/96e20c02-1b12-465a-b64c-24aa92270007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общих принципах организации местного самоуправления в Российской Федерации</w:t>
        </w:r>
      </w:hyperlink>
      <w:r/>
      <w:bookmarkEnd w:id="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7) Федеральный закон от 24 ноября 1995 г. № 181-ФЗ "</w:t>
      </w:r>
      <w:hyperlink r:id="rId17" w:tooltip="http://rnla-service.scli.ru:8080/rnla-links/ws/content/act/e999dcf9-926b-4fa1-9b51-8fd631c66b00.html" w:history="1">
        <w:bookmarkStart w:id="24" w:name="e999dcf9-926b-4fa1-9b51-8fd631c66b00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 социальной защите инвалидов в Российской Федерации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8) постановление Правительства Республики Мордовия от 14 ноября 2011 года № 426 "</w:t>
      </w:r>
      <w:hyperlink r:id="rId18" w:tooltip="http://rnla-service.scli.ru:8080/rnla-links/ws/content/act/2900efab-4767-43a3-821c-3cac827332ef.html" w:history="1">
        <w:bookmarkStart w:id="25" w:name="2900efab-4767-43a3-821c-3cac827332ef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утверждении Порядка представления и получения документов и информации при межведомственном информационном взаимодействии в целях предоставления государственных услуг</w:t>
        </w:r>
      </w:hyperlink>
      <w:r/>
      <w:bookmarkEnd w:id="2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9)  решением Совета депутатов Тургеневского городского поселения Ардатовского  муниципального района Республики Мордовия от 29 декабря 2005 года №56 «</w:t>
      </w:r>
      <w:hyperlink r:id="rId19" w:tooltip="http://rnla-service.scli.ru:8080/rnla-links/ws/content/act/59d3b1ab-84c2-477c-a949-86e8f301e414.html" w:history="1">
        <w:bookmarkStart w:id="26" w:name="59d3b1ab-84c2-477c-a949-86e8f301e414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 принятии Устава Тургеневского городского поселения Ардатовского муниципального района Республики Мордовия</w:t>
        </w:r>
      </w:hyperlink>
      <w:r/>
      <w:bookmarkEnd w:id="2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» с изменениями (с изменениями от 15 июня 2007 г. № 88, от 21 мая 2008 г. № 14, от 30 октября 2009 г. № 15, 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 28 октября 2010 г. № 67, от 20.07.2011 г. № 86, от 30.07.2012 г. № 25, от 13.12.2013 г. № 69, от 24.04.2015 г. № 107, от 08.06.2016 г. № 151,от 14.07.2017 г. №31, от 22 октября 2018 г. № 68, от 21.08.2019 г. № 91, от 05.11.2020 № 26, от 26.05.2021 № 141)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27" w:name="sub_24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4. Порядок информирования о предоставлении муниципальной услуги</w:t>
      </w:r>
      <w:bookmarkEnd w:id="27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28" w:name="sub_101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11. </w:t>
      </w:r>
      <w:bookmarkEnd w:id="28"/>
      <w:r/>
      <w:bookmarkStart w:id="29" w:name="sub_1013"/>
      <w:r/>
      <w:bookmarkEnd w:id="29"/>
      <w:r/>
      <w:bookmarkStart w:id="30" w:name="sub_101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Сведения о месте нахождения и графике работы адми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нистрации и ГАУ "МФЦ" заинтересованное лицо может получить по телефону, электронной почте, а также из информации, размещенной на Интернет-сайте администрации или ГАУ "МФЦ", Едином портале государственных и муниципальных услуг (функций) Республики Мордовия.</w:t>
      </w:r>
      <w:bookmarkEnd w:id="30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tbl>
      <w:tblPr>
        <w:tblW w:w="9498" w:type="dxa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54"/>
        <w:gridCol w:w="2004"/>
        <w:gridCol w:w="1510"/>
        <w:gridCol w:w="1708"/>
        <w:gridCol w:w="1613"/>
      </w:tblGrid>
      <w:tr>
        <w:trPr/>
        <w:tc>
          <w:tcPr>
            <w:tcBorders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/>
            <w:bookmarkStart w:id="31" w:name="sub_1014"/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организации, осуществляющих функции приема документов и выдачи результатов предоставления муниципальной услуги</w:t>
            </w:r>
            <w:bookmarkEnd w:id="31"/>
            <w:r/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55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Адрес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41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Контактные номера телефонов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График работы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268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Адрес Интернет-сайта (страницы), адрес электронной почты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Администрация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Тургеневского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городского поселения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55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431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891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,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РМ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,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Ардатовский район, рп.Тургенево, улица Ленинская, д.8а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(2 этаж)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41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(834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1)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2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36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25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понедельник - пятница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 8.00 час. до 17.00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час., перерыв на обед с 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 час. до 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ч.,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выходные дни - суббота, воскресенье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268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 w:firstLine="720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e-mail: a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dm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_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turgenevo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@mail.ru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left="34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Отдел архитектуры и градостроительства администрации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 w:left="34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Ардатовского муниципального района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55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431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860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, г.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Ардатов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, улица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Комсомольская, 121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(1 этаж)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41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8 (834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-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94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понедельник - пятница с 8.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0 час. до 17.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0 час., перерыв с 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 час. до 1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 час., выходные дни – суббота, воскресенье.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268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left="34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Государственное автономн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ое учреждение Республики Мордовия «Многофункциональный центр предоставления государственных и муниципальных услуг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»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55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430005, Республика Мордовия, г.Саранск, улица Большевисткая, д.31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41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8 (8342) 39-29-39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понедельник, среда, пятница с 8.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час. до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20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 час., без перерыва на обед, вторник – с 8.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час. до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18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 час., без перерыва на обед, суббота с 9.00 час. до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15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.00 час. без перерыва на обед, выходной день– воскресенье.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268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mfcrm@e-mordovia.ru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left="34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Филиал по Ардатовскому муниципальному району МБУ «МФЦ Ардатовского МР РМ»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55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Адрес места нахождения: Республика Мордовия, город Ардатов, улица Комсомольская, 126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141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(8-834-31) 3-10-03,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7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Воскресенье выходной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268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firstLine="72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12. Информирование заявителей по вопросам предоставления муниципальной услуги, в том числе о ходе предоставления муниципальной услуги, проводится в трех формах: устно (лично в местах приема документов или по телефону), письменно и в электронной форме.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2" w:name="sub_101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13. Устное информирование заявителя по телефону не превышает 10 минут и вклю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чает в себя информацию о наименовании уполномоченной организации, фамилии, имени, отчестве и занимаемой должности специалиста, принявшего телефонный звонок, условиях предоставления муниципальной услуги и ответы по существу поставленных заявителем вопросов.</w:t>
      </w:r>
      <w:bookmarkEnd w:id="32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3" w:name="sub_101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14. При устном информировании заяв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ителей специалист должен принять все необходимые меры для дачи полного ответа на поставленные вопросы, в случае необходимости с привлечением компетентных специалистов. Специалист информирует заявителя о возможности получить консультацию в письменной форме.</w:t>
      </w:r>
      <w:bookmarkEnd w:id="3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4" w:name="sub_101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15.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Специалист не вправе осуществлять информирование получателя муниципальной услуги,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</w:t>
      </w:r>
      <w:bookmarkEnd w:id="3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16. Заявитель может получить всю необходимую информацию о порядке предоставлени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я услуги на официальных сайтах http://gp-turgenevo.ardatov.e-mordovia/ru  (далее - официальный сайт) и ГАУ «МФЦ», а также на Портале государственных и муниципальных услуг (функций) Республики Мордовия и на информационных стендах в местах приема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17. Письменное информирование заявителя осуществляется посредством дачи письменного ответа на его обращение по существу поставленных вопросов. Срок рассмотрения письменных обращений составляет 30 дней со дня их регистрации.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18. При поступлении обращения в электро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нной форме от заявителя по вопросу предоставления муниципальной услуги на официальный сайт (электронную почту) ответ в электронной форме по существу поставленного вопроса дается не позднее 30 дней со дня регистрации обращения на сайте (электронной почте).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Ответ направляется заявителю в электронной форме на указанный им адрес электронной почты. При отсутствии электронной почты у заявителя ответ размещается на официальном сайте, либо, по желанию заявителя, направляется ему письмом, посредством почтовой связи.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0"/>
        <w:keepNext w:val="false"/>
        <w:widowControl w:val="false"/>
        <w:pBdr/>
        <w:spacing w:after="216" w:before="108"/>
        <w:ind/>
        <w:jc w:val="both"/>
        <w:rPr>
          <w:b/>
          <w:bCs/>
        </w:rPr>
      </w:pPr>
      <w:r/>
      <w:bookmarkStart w:id="35" w:name="sub_250"/>
      <w:r>
        <w:rPr>
          <w:rFonts w:ascii="Arial" w:hAnsi="Arial" w:eastAsia="Arial" w:cs="Arial"/>
          <w:i w:val="0"/>
          <w:color w:val="26282f"/>
          <w:sz w:val="24"/>
          <w:szCs w:val="24"/>
        </w:rPr>
        <w:t xml:space="preserve"> </w:t>
      </w:r>
      <w:bookmarkEnd w:id="35"/>
      <w:r/>
      <w:r>
        <w:rPr>
          <w:b/>
          <w:bCs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5. Перечень документов, необходимых для предоставления муниципальной услуги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6" w:name="sub_101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19. Для получения муниципальн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ой услуги заявитель лично (через своего представителя, уполномоченного им на основании доверенности) или через Портал государственных и муниципальных услуг (функций) Республики Мордовия, почтовую связи либо через ГАУ «МФЦ» представляет следующие документы:</w:t>
      </w:r>
      <w:bookmarkEnd w:id="3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заявление по форме согласно приложению 1 к настоящему Административному регламенту на имя Глав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ы администрации Тургеневского городского поселения , в котором указываются сведения о переводимом помещении, личные данные заявителя, способ получения результата муниципальной услуги (по почте или иным способом) и личную подпись заявителя и дату обращения;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правоустанавливающие документы на переводимое помещение (подлинники или засвидетельствованные в нотариальном порядке копии);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7" w:name="sub_2302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  <w:bookmarkEnd w:id="3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8" w:name="sub_2302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поэтажный план дома, в котором находится переводимое помещение;</w:t>
      </w:r>
      <w:bookmarkEnd w:id="38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39" w:name="sub_2302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5) подготовленный и 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  <w:bookmarkEnd w:id="39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7) согласие каждого собственника всех помещений, примыкающих к переводимому помещению, на перевод жилого помещения в нежилое помещение.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позволяющей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20. Заявитель вправе не представлять документы, предусмотренные подпунктами  3 и 4 пункта 19, а также в случае, если право на переводимое помещение зарегистрировано в Едином государственном реестре недвижимости, документы, предусмотренные подпунктом 2 пунк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та 19 настоящей статьи. Для рассмотрения заявления о переводе помещения орган, осуществляющий перевод помещений,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0" w:name="sub_2321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  <w:bookmarkEnd w:id="40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поэтажный план дома, в котором находится переводимое помещение.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1" w:name="sub_102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21. </w:t>
      </w:r>
      <w:bookmarkEnd w:id="4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Специалист, осуществляющий прием и регистрацию документов не вправе требовать от заявителя: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ью 1 статьи 1 Федерального закона №210-ФЗ,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за исключением документов, включенных в определенн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ый частью 6 статьи 7 Федерального закона №210-ФЗ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представления док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 за исключением следующих случаев: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в) истечение срока действия документов или изменение информации после первоначального отказа в предоставлении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о, работника многофункционального центра, работника организации, предусмотренной частью 1.1 статьи 16 Федерального закона № 210-ФЗ, при первоначальном отказе в предоставлении муниципальной услуги, о чем в письменном виде за подписью руководителя органа, пр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едоставляющего муниципальную услугу, руководителя многофункционального центра либо руководителя организации, предусмотренной частью 1.1 статьи 16 Федерального закона № 210-ФЗ, уведомляется заявитель, а также приносятся извинения за доставленные неудобства;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д) предоставление на бумажном носителе документов и информации, электронные образы которых пане были заверены в со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ответствии с п.7.2 ч.1 ст.16 Федерального закона №210-ФЗ, за исключением случаев, если нанесение отметок на такие документы либо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22. В случае не представления заявителем документов, указанных в подпунктах 2, 3, 4 пункта 19 Регламента, данные документы самостоятельно истребуются Администрацией по каналам межведомственного электронного взаимодействия.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необходимости Администрация самостоятельно запрашивает дополнительные сведения у органов государственной власти, органов местного самоуправления и других подведомственных им организациям.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Органы и организации, выдавшие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42" w:name="sub_26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6. Основания для отказа в приеме документов и отказа в предоставлении муниципальной услуги</w:t>
      </w:r>
      <w:bookmarkEnd w:id="42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3" w:name="sub_102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23. Основаниями для отказа в приеме документов, необходимых для предоставления муниципальной услуги, являются:</w:t>
      </w:r>
      <w:bookmarkEnd w:id="4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предоставление заявителем заявления и документов без удостоверения личности либо не уполномоченным лицом;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предоставление заявителем услуги заявления и документов, не соответствующих требованиям (наличие исправлений, не позволяющих однозначно истолковать их содержание, отсутствие обратного адреса, подписи, печати).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4" w:name="sub_102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24. О наличии оснований для отказа в приеме документов заявителя устно информирует специалист, ответственный за прием и регистрацию документов.</w:t>
      </w:r>
      <w:bookmarkEnd w:id="4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5" w:name="sub_102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25. Основаниями для отказа в предоставлении муниципальной услуги являются:</w:t>
      </w:r>
      <w:bookmarkEnd w:id="45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6" w:name="sub_102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непредставления определенных пунктом 19 Административного регламента документов, обязанность по представлению которых возложена на заявителя;</w:t>
      </w:r>
      <w:bookmarkEnd w:id="4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19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Административного регламента,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</w:t>
      </w:r>
      <w:hyperlink r:id="rId20" w:tooltip="http://rnla-service.scli.ru:8080/rnla-links/ws/content/act/370ba400-14c4-4cdb-8a8b-b11f2a1a2f55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Жилищного кодекса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7" w:name="sub_2401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представления документов в ненадлежащий орган;</w:t>
      </w:r>
      <w:bookmarkEnd w:id="4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8" w:name="sub_2401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несоблюдения предусмотренных статьей 22 </w:t>
      </w:r>
      <w:bookmarkEnd w:id="48"/>
      <w:r/>
      <w:hyperlink r:id="rId21" w:tooltip="http://rnla-service.scli.ru:8080/rnla-links/ws/content/act/370ba400-14c4-4cdb-8a8b-b11f2a1a2f55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Жилищного кодекса</w:t>
        </w:r>
      </w:hyperlink>
      <w:r/>
      <w:bookmarkEnd w:id="2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Российской Федерации условий перевода помещения;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несоответствия проекта переустройства и (или) перепланировки помещения в многоквартирном доме требованиям законодательства.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49" w:name="sub_240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26. Решение об отказе в переводе помещения должно содержать основания отказа с обязательной ссылкой на нарушения, предусмотренные пунктом 25 Административного регламента.</w:t>
      </w:r>
      <w:bookmarkEnd w:id="49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0" w:name="sub_240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27.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  <w:bookmarkEnd w:id="50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26. Отказ в предоставлении муниципальной услуги по основаниям, указанным в подпунктах 1 - 5 пункта 25 Административного регламента, не препятствует повторному обращению заявителя после устранения причин, послуживших основанием для отказа.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1" w:name="sub_103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27. Основания для приостановления муниципальной услуги отсутствуют.</w:t>
      </w:r>
      <w:bookmarkEnd w:id="51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52" w:name="sub_27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7. Размер платы за предоставление муниципальной услуги</w:t>
      </w:r>
      <w:bookmarkEnd w:id="52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3" w:name="sub_103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28. Предоставление муниципальной услуги осуществляется бесплатно.</w:t>
      </w:r>
      <w:bookmarkEnd w:id="5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54" w:name="sub_28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8. Стандарт комфортности.</w:t>
      </w:r>
      <w:bookmarkEnd w:id="54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5" w:name="sub_103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29. </w:t>
      </w:r>
      <w:bookmarkEnd w:id="55"/>
      <w:r/>
      <w:bookmarkStart w:id="56" w:name="sub_103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предоставлении муниципальной услуги прием заявителей специалистами ГАУ «МФЦ», ответственными за прием (выдачу) и регистрацию документов, осуществляется в порядке электронной очереди в специально выделе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нных для этих целей помещениях. Очередность определяется при обращении заявителя к киоску электронной очереди. Выдача талонов заявителям для подачи заявления о предоставлении услуги осуществляется исходя из принципа: "один талон на получение одной услуги".</w:t>
      </w:r>
      <w:bookmarkEnd w:id="5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30. Помещение для пред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оставления муниципальной услуги должно быть оборудовано местами для ожидания, информирования и приема заявителей, стульями, столами, канцелярскими принадлежностями, а также в соответствии с требованиями Федерального закона от 24 ноября 1995 года № 181-ФЗ "</w:t>
      </w:r>
      <w:hyperlink r:id="rId22" w:tooltip="http://rnla-service.scli.ru:8080/rnla-links/ws/content/act/e999dcf9-926b-4fa1-9b51-8fd631c66b00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 социальной защите инвалидов в Российской Федерации</w:t>
        </w:r>
      </w:hyperlink>
      <w:r/>
      <w:bookmarkEnd w:id="2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30.1. Требования к помещениям предоставления муниципальной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требования к местам приема заявителей: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помещения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требования к местам для ожидания: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места для ожидания в очереди оборудуются стульями и (или) кресельными секциями;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места для ожидания находятся в холле или ином специально приспособленном помещении;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вход в здание ГАУ «МФЦ» и места, предназначенные для приема заявителей, должны обеспечиваться предусмотренными законодательством Российской Федерации, условиями для беспрепятственного доступа к данным помещениям заявителей, являющихся инвали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дами, включая инвалидов - колясочников. В случае отсутствия вышеуказанных условий доступности, помощь инвалидам в преодолении барьеров, мешающих получению ими услуг наравне с другими лицами, оказывается специалистами, предоставляющими муниципальную услугу;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требования к местам для информирования заявителей: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места оборудуются визуальной, текстовой информацией, размещаемой на информационном стенде;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места оборудуются стульями и столами для возможности оформления документов;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информационный стенд, столы размещаются в местах, обеспечивающих свободный доступ к ним.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Здание, где организуется предоставление муниципальной услуги, оборудуется средствами пожаротушения и оповещения о возникновении чрезвычайной ситуации.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30.2. Для доступности предоставления услуги инвалидам обеспечиваются следующие условия: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условия для беспрепятственного доступа к объектам социальной, инженерной и транспортн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возможность самосто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31. На информационных стендах в местах предоставления муниципальной услуги и официальном интернет-сайте Администрации - http://gp-turgenevo.ardatov.e-mordovia/ru  и ГАУ «МФЦ» размещается следующая информация: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полные наименования органа, предоставляющего муниципальную услугу и организаций, участвующих в ее предоставлении;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контактные телефоны, график работы, фамилии, имена, отчества и должности специалистов, осуществляющих прием и консультирование заявителей;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процедура предоставления муниципальной услуги в текстовом виде и в виде блок-схемы;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перечень документов, представляемых заявителями для получения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образец заявления;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перечень оснований для отказа в предоставлении муниципальной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32. Показатели доступности и качества муниципальной услуги: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транспортная доступность к местам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размещение информации о порядке предоставления муниципальной услуги на официальном Интернет-сайте администрации;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простота и ясность изложения информационных документов;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наличие различных каналов получения информации о предоставлении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доступность работы с заявителями;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точность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профессиональная подготовка сотрудников органа, осуществляющего предоставление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высокая культура обслуживания заявителей;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строгое соблюдение сроков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количество обоснованных жалоб на решения органа, осуществляющего предоставление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отсутствие жалоб на действия (бездействие) и решения, осуществляемые (принятые) в ходе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обеспечение защиты конфиденциальных сведений о заявителе;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возможность получения муниципальной услуги в ГАУ «МФЦ» или с использованием Единого портала государственных и муниципальных услуг и (функций) Республики Мордовия.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33. Качество предостав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ления муниципальной услуги подтверждается отсутствием жалоб со стороны заявителей и соблюдением сроков предоставления муниципальной услуги, соблюдением стандарта предоставления муниципальной услуги, обеспечение защиты конфиденциальных сведений о заявителе.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34. Доступность для заявителей предоставления муниципальной услуги обеспечивается за счет публичного информирования обо всех проводимых мероприятиях в средствах массовой информации, предусмотренных законодательством.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9. Особенности предоставления муниципальной услуги через ГАУ «МФЦ»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35. ГАУ «МФЦ» организует предоставление муниципальных услуг по принципу "одного окна" в соответствии с соглашениями о взаимодействии.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36. В ГАУ «МФЦ» обеспечивается: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а) функционирование автоматизированной информационной системы ГАУ «МФЦ»;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б) бесплатный доступ заявителей к государственной информационной системе Портал государственных и муниципальных услуг (функций) Республики Мордовия;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в) возможность оплаты государственных и муниципальных услуг;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г) получение информации посредством центра телефонного обслуживания, осуществляющего с помощью операторов или в автоматическом режиме прием и обслуживание вызовов, поступающих в ГАУ «МФЦ»;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д) возможность воспользоваться предварительной записью на подачу запроса о предоставлении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е) предварительное уведомление заявителя о готовности результата предоставления муниципальной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ж) помощь в заполнении заявления в случае, если заявитель, не имеющий возможности самостоятельно заполнить заявление, специалист, ответственный за прием и регистрацию документов, с согласия заявителя, заполняет заявление.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7" w:name="sub_103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37. Максимальный срок ожидания в очереди при подаче запроса о предоставлении муниципальной услуги составляет не более 15 минут.</w:t>
      </w:r>
      <w:bookmarkEnd w:id="5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58" w:name="sub_29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10. Иные требования к предоставлению муниципальной услуги</w:t>
      </w:r>
      <w:bookmarkEnd w:id="58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59" w:name="sub_103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38. </w:t>
      </w:r>
      <w:bookmarkEnd w:id="5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Обращени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е в электронной форме производится при наличии технической возможности заявителя на предоставление документов, необходимых для предоставления муниципальной услуги, с правом электронной подписи на заверение представляемых документов в установленном порядке.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/>
      <w:bookmarkStart w:id="60" w:name="sub_300"/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Раздел 3. Состав, последовательность и сроки выполнения административных процедур, требования к порядку их выполнения</w:t>
      </w:r>
      <w:bookmarkEnd w:id="60"/>
      <w:r/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widowControl w:val="false"/>
        <w:pBdr/>
        <w:spacing w:after="108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61" w:name="sub_31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1. Основные положения</w:t>
      </w:r>
      <w:bookmarkEnd w:id="61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2" w:name="sub_104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39. Предоставление муниципальной услуги включает следующие административные действия:</w:t>
      </w:r>
      <w:bookmarkEnd w:id="62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прием и регистрация документов;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рассмотрение документов и принятие решения;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выдача результата заявителю.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3" w:name="sub_104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40. Блок-схема последовательности административных действий по предоставлению муниципальной услуги представлена в приложении 2 к Административному регламенту.</w:t>
      </w:r>
      <w:bookmarkEnd w:id="6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0"/>
        <w:keepNext w:val="false"/>
        <w:widowControl w:val="false"/>
        <w:pBdr/>
        <w:spacing w:after="216" w:before="108"/>
        <w:ind/>
        <w:jc w:val="center"/>
        <w:rPr>
          <w:b/>
          <w:bCs/>
        </w:rPr>
      </w:pPr>
      <w:r/>
      <w:bookmarkStart w:id="64" w:name="sub_320"/>
      <w:r>
        <w:rPr>
          <w:rFonts w:ascii="Arial" w:hAnsi="Arial" w:eastAsia="Arial" w:cs="Arial"/>
          <w:i w:val="0"/>
          <w:color w:val="26282f"/>
          <w:sz w:val="24"/>
          <w:szCs w:val="24"/>
        </w:rPr>
        <w:t xml:space="preserve"> </w:t>
      </w:r>
      <w:bookmarkEnd w:id="64"/>
      <w:r/>
      <w:r>
        <w:rPr>
          <w:b/>
          <w:bCs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2. Прием и регистрация документов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5" w:name="sub_104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41. Юриди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ческим фактом, являющимся основанием для начала административного действия, является обращение гражданина в адрес Главы администрации с заявлением по форме согласно приложения 1 и документами, указанными в пункте 19 настоящего Административного регламента.</w:t>
      </w:r>
      <w:bookmarkEnd w:id="65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6" w:name="sub_104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42. Для получения муниципальной услуги заявитель вправе подать заявление 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документы лично или через своего законного представителя по адресам, указанным в пункте 11 Административного регламента, а также с использованием почтовой связи или в электронном виде через Портал государственных и муниципальных услуг Республики Мордовия.</w:t>
      </w:r>
      <w:bookmarkEnd w:id="6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7" w:name="sub_104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43. Заявление и документы, необходимые для предоставления муниципальной услуги, направленные по почте, должны быть надлежащим образом заверены.</w:t>
      </w:r>
      <w:bookmarkEnd w:id="6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8" w:name="sub_104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44. При личном обращении заявителя за представлением муниципальной услуги специалист, ответственный за прием и регистрацию документов, осуществляет следующую последовательность действий:</w:t>
      </w:r>
      <w:bookmarkEnd w:id="68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предоставляет заявителю бланк заявления;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проверяет наличие всех документов, указанных в пункте 19 настоящего Административного регламента, необходимых для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осуществляет проверку представленных коп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ий документов на их соответствие оригиналам (по окончании проверки специалист, ответственный за прием и регистрацию, возвращает оригиналы документов заявителю, на копиях проставляет отметку "сверено с оригиналом" с указанием должности, фамилии, инициалов);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5) проверяет соответствие представленных документов установленным требованиям, а именно: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тексты документов написаны разборчиво;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фамилия, имя и отчество заявителя, адрес места жительства написаны полностью;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 документах нет подчисток, приписок, зачеркнутых слов и не оговоренных в них исправлений;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документы не исполнены карандашом;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документы не имеют повреждений, наличие которых не позволяет однозначно истолковать их содержание.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случае установления основан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ий, указанных в пункте 25 настоящего Административного регламента, специалист, ответственный за прием и регистрацию документов, объясняет заявителю или его законному представителю содержание и последствия выявленных недостатков в представленных документах.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6) по окончании регистрационных действий специалист, ответственный за прием и регистрацию документов, выдает заявителю расписку в п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олучении документов, а также сообщает заявителю о дате и месте получения результата муниципальной услуги, номерах телефонов, ответственных лиц, у которых заявитель в течение срока предоставления муниципальной услуги может узнать о стадии ее предоставления.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7) специалист, ответственный за прием и регистрацию до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кументов,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45. Заявитель несет ответственность за достоверность представленных сведений и документов.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69" w:name="sub_104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46. После регистрации заявления и документов специалист ГАУ "МФЦ" отправляет их Главе администрации.</w:t>
      </w:r>
      <w:bookmarkEnd w:id="69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0" w:name="sub_104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47. Глава администрации, в течение 1-го дня передает заявление и документы на рассмотрение в отдел архитектуры и градостроительства.</w:t>
      </w:r>
      <w:bookmarkEnd w:id="70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71" w:name="sub_34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3. Рассмотрение заявления, принятие решения</w:t>
      </w:r>
      <w:bookmarkEnd w:id="71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2" w:name="sub_104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48.   начальник отдела архитектуры и градостроительства в течение 1 (одного) дня рассматривает представленные документы, после чего передает их специалисту отдела архитектуры и градостроительства .</w:t>
      </w:r>
      <w:bookmarkEnd w:id="72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3" w:name="sub_104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49. Специалист архитектуры и градостроительства в течение 22 (двадцати двух) дней проводит проверку сведений, содержащихся в заявлении, и прилагаемых к нему документов, по результатам которой принимает одно из следующих решений:</w:t>
      </w:r>
      <w:bookmarkEnd w:id="7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 подготовке постановления о переводе и уведомления о переводе;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уведомления об отказе.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4" w:name="sub_105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50. Специалист  рассматривает заявление и приложенные к нему документы на соответствие следующим требованиям:</w:t>
      </w:r>
      <w:bookmarkEnd w:id="7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при переводе существует возможность доступа к переводимому помещению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водимое помещение является частью жилого помещения, либо используется собственником данного помещения или иным гражданином в качестве места постоянного проживания, а также если право собственности на переводимое помещение обременено правами каких-либо лиц;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перевод квартиры в многоквартирно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перевод нежилого помещения в жилое помещени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требованиям, либо если право собственности на такое помещение обременено правами каких-либо лиц;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при переводе жилого (нежилого)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помещения в нежилое (жилое) помещение в графической части проектной документации по перепланировке и переустройству переводимых помещений должно быть представлено эскизное цветовое решение фасада с описанием композиционных приемов по отделке переводимого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помещения, близкой по цветовой гамме с существующим фасадом жилого дома или нежилыми помещениями, расположенными на первом этаже многоэтажного жилого дома, с соблюдением предельных параметров разрешенного строительства входной группы переводимых помещений;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перевод жилого помещения в нежилое не допускается, если проектом перепланировки или переустройства переводимого помещения не предусмотрен перечень мероприятий по обеспечению доступа инвалидов к переводимым помещениям;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75" w:name="sub_341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Глава 1. Подготовка постановления администрации Тургеневского городского поселения  о переводе жилого (нежилого) помещения в нежилое (жилое) помещение</w:t>
      </w:r>
      <w:bookmarkEnd w:id="75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6" w:name="sub_105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51. Специалист  отдела архитектуры и градостроительства обеспечивает подготовку проекта постановления о переводе и уведомления о переводе.</w:t>
      </w:r>
      <w:bookmarkEnd w:id="7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7" w:name="sub_105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52. Согласование и подписание проекта постановления осуществляется в срок не более 20 (двадцати) дней с даты его подготовки.</w:t>
      </w:r>
      <w:bookmarkEnd w:id="7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8" w:name="sub_105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53. В соответствии с Административным регламентом проект постановления о переводе, уведомление о переводе направляется на поэтапное согласование с должностными лицами администрации:</w:t>
      </w:r>
      <w:bookmarkEnd w:id="78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заместителем Главы администрации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79" w:name="sub_105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54. Согласованный проект постановления о переводе, уведомление о переводе передаются на подпись Главе администрации.</w:t>
      </w:r>
      <w:bookmarkEnd w:id="79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0" w:name="sub_105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55. Подписанное и зарегистрированное постановление о переводе, уведомление о переводе передается специалистам, ответственным за выдачу результата предоставления муниципальной услуги заявителю.</w:t>
      </w:r>
      <w:bookmarkEnd w:id="80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1" w:name="sub_105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56. Завершение переустройства и (или) перепланировки подтверждается актом приемочной комиссии сформированной Администрацией, осуществляющей перевод помещений (далее - акт приемочной комиссии).</w:t>
      </w:r>
      <w:bookmarkEnd w:id="81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82" w:name="sub_342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Глава 2. Отказ в предоставлении муниципальной услуги</w:t>
      </w:r>
      <w:bookmarkEnd w:id="82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3" w:name="sub_105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57. В случае если при проведении проверки сведений, содержащихся в заявлении и прилагае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мых к нему документов, установлены основания, указанные в пункте 25 Административного регламента, специалист  отдела архитектуры и градостроительства  оформляет проект уведомления об отказе в предоставлении муниципальной услуги с ссылкой на причину отказа.</w:t>
      </w:r>
      <w:bookmarkEnd w:id="8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Проект уведомления об отказе подписывается Главой администрации.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Максимальный срок выполнения административного действия - 43 дня с даты получения заявления специалистом отдела архитектуры и градостроительства.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4" w:name="sub_105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58. Подписанное и зарегистрированное уведомление об отказе в предоставлении муниципальной услуги в течение 1 дня со дня его регистрации передается специалистам, ответственным за выдачу результата предоставления муниципальной услуги заявителю.</w:t>
      </w:r>
      <w:bookmarkEnd w:id="8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85" w:name="sub_35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4. Выдача результата заявителю</w:t>
      </w:r>
      <w:bookmarkEnd w:id="85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6" w:name="sub_105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59. Результат услуги выдается при предъявлении паспорта или иного удостоверяющего личность документа, доверенным лицам - при предъявлении доверенности, оформленной в установленном порядке.</w:t>
      </w:r>
      <w:bookmarkEnd w:id="8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7" w:name="sub_106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60. Заявитель уведомляется специалистом, ответственным за выдачу результата услуги, по телефону о готовности результата предоставления услуги в течение двух рабочих дней после его получения.</w:t>
      </w:r>
      <w:bookmarkEnd w:id="8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8" w:name="sub_1061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61. В случае если специалист, ответственный за выдачу результата услуги, не смог дозвониться до заявителя, либо за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явитель не указал контактный телефон, заявителю на указанный им почтовый адрес в течение 3-х рабочих дней с момента получения результата услуги от администрации отправляется простым почтовым отправлением письмо, подтверждающее готовность результата услуги.</w:t>
      </w:r>
      <w:bookmarkEnd w:id="88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89" w:name="sub_106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62. В случае если заявителем в заявлении указан способ получения результата услуги по почте, то результат услуги в течение 3-х рабочих дней после его подписания отправляется заявителю на указанный им почтовый адрес заказным письмом с уведомлением.</w:t>
      </w:r>
      <w:bookmarkEnd w:id="89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90" w:name="sub_106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63. В случае если заявителем в заявлении указан способ получения в электронной форме, то результат услуги в течение 3 (трех) рабочих дней после его подписания отправляется заявителю на указанный им электронный адрес.</w:t>
      </w:r>
      <w:bookmarkEnd w:id="90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/>
      <w:bookmarkStart w:id="91" w:name="sub_400"/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Раздел 4. Формы контроля за исполнением Административного регламента</w:t>
      </w:r>
      <w:bookmarkEnd w:id="91"/>
      <w:r/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widowControl w:val="false"/>
        <w:pBdr/>
        <w:spacing w:after="108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92" w:name="sub_41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1. Порядок и формы контроля за исполнением административного регламента</w:t>
      </w:r>
      <w:bookmarkEnd w:id="92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93" w:name="sub_106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64. </w:t>
      </w:r>
      <w:bookmarkEnd w:id="93"/>
      <w:r/>
      <w:bookmarkStart w:id="94" w:name="sub_106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Текущий контроль за соблюдением и исполнением ответственными специалистами последовательности действий, определенных настоящим Административным регламентом, осуществляется  Главой администрации Тургеневского городского поселения.</w:t>
      </w:r>
      <w:bookmarkEnd w:id="9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Текущий контроль осуществляется путем проведения заместителем Главы администрации Тургеневского городского поселения о проверок соблюдения и исполнения сотрудниками положений настоящего Административного регламента.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65. Специалисты, принимающие участие в предоставлении муниципальн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ой услуги, несут персональную ответственность за соблюдение сроков рассмотрения заявлений получателей муниципальной услуги, за полноту, грамотность и доступность проведенного консультирования, за правильность выполнения процедур, установленных регламентом.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66. Ответственность специалистов закрепляется в их должностных инструкциях.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67. Специалисты, осуществляющие прием 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выдачу документов несут ответственность за порядок приема и регистрацию документов, разглашение сведений (информации), составляющих служебную тайну или предназначенную для ограниченного пользования, в соответствии с законодательством Российской Федерации.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68. Несоблюдение требований настоящего Административного регламента специалистами влечет наложение на них дисциплинарных взысканий в соответствии с законодательством Российской Федерации.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69. Контроль за полнотой и качеством предоставления муниципальной услуги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70. Проверки могут быть плановыми и внеплановыми (в связи с обращением граждан либо получением информации о нарушениях прав заявителей в процессе предоставления муниципальной услуги).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71. По результатам проведенных проверок,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95" w:name="sub_42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2.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  <w:bookmarkEnd w:id="95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96" w:name="sub_106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72. </w:t>
      </w:r>
      <w:bookmarkEnd w:id="96"/>
      <w:r/>
      <w:bookmarkStart w:id="97" w:name="sub_1068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  <w:bookmarkEnd w:id="9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73.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/>
      <w:bookmarkStart w:id="98" w:name="sub_500"/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Раздел 5. Досудебный (внесудебный) порядок обжалования решений и действий (бездействия)</w:t>
      </w:r>
      <w:bookmarkEnd w:id="98"/>
      <w:r/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99" w:name="sub_51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1. Предмет досудебного (внесудебного) обжалования</w:t>
      </w:r>
      <w:bookmarkEnd w:id="99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0" w:name="sub_106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74. </w:t>
      </w:r>
      <w:bookmarkEnd w:id="10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Заявитель может обратиться с жалобой, в том числе в следующих случаях: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нарушение срока регистрации запроса заявителя о предоставлении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(бездействий) ГАУ «МФЦ»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возможно в случае, если на ГАУ «МФЦ», решения и действия (бездействия)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№210-ФЗ;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требование у заявителя документов или информации либо осуществлен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отказ 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ГАУ «МФЦ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» возможно в случае, если на ГАУ «МФЦ»,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№210-ФЗ;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7) отказ должностного лица Администрации в исправлении допущенных опечаток и ошиб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ГАУ «МФЦ» возможно в случае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, если на ГАУ «МФЦ»,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№210-ФЗ;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8) нарушение срока или порядка выдачи документов по результатам предоставления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ГАУ «МФЦ» возможно в случае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, если на ГАУ «МФЦ»,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№210-ФЗ;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10) т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едоставлении муниципальной услуги, за исключением случаев, предусмотренных пунктом 4 части 1 статьи 7 Федерального закона № 210-ФЗ. В указанном случае досудебное (внесудебное) обжалование заявителем решений и действий (бездействия) ГАУ «МФЦ» возможно в слу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/>
      <w:bookmarkStart w:id="101" w:name="sub_520"/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2. Порядок досудебного (внесудебного) обжалования</w:t>
      </w:r>
      <w:bookmarkEnd w:id="101"/>
      <w:r/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2" w:name="sub_1077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75. Жалоба подается в письменной форме на бумажном носителе, в электронной форме в Администрацию. Жалоба может быть направлена по почте, с использованием информационно-телекоммуникационной сет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 "Интернет": сайтов Администрации https://gp-turgenevo.ardatov.e-mordovia.ru/  , ГАУ «МФЦ», Портала государственных и муниципальных услуг (функций) Республики Мордовия http://gosuslugi.e-mordovia.ru, а также может быть принята при личном приеме заявителя.</w:t>
      </w:r>
      <w:bookmarkEnd w:id="102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76. Особенности подачи и рассмотрения жалоб на решения и действия (бездействие) Администрации и ее должностных лиц устанавливаются муниципальными правовыми актами.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77. Жалоба должна содержать: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наименование органа, предоставляющего муниципальную услугу - Администрация, должностного лица Администрации либо муниципального служащего, решения и действия (бездействие) которых обжалуются;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фамилию, имя, отчество (последнее - при наличии), сведения о месте жительства заявителя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сведения об обжалуемых решениях и действиях (бездействии) органа, предоставляющего услугу (Администрации), должностного лица Администрации либо муниципального служащего;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доводы, на основа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 либо их копии.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78.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 По результатам рассмотрения жалобы Администрация принимает одно из следующих решений: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отказывает в удовлетворении жалобы.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79.1. Не позднее дня, следующего за днем принятия одного из вышеуказанных решений,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79.2. В случае признания жалобы подлежащей удовлет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ворению в ответе заявителю дается информация о действиях, осуществляемых органом, предоставляющим муниципальную услугу, ГАУ «МФЦ» либо организацией, предусмотренной частью 1.1 статьи 16 Федерального закона № 210-ФЗ, в целях незамедлительного устранения выя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3" w:name="sub_1069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bookmarkEnd w:id="103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удовлетворении жалобы орган, предоставляющий муниципальную услугу, ГАУ «МФЦ», привлекаемая организация, учредитель ГАУ «МФЦ» принимают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Федерации, Республики Мордовия.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79.4. Ответ по результатам рассмотрения жалобы направляется заявителю не позднее дня, следующего за днем принятия решения, в письменной форме.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79.5. В ответе по результатам рассмотрения жалобы указываются: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наименование органа, предоставляющего муниципальную услугу, ГАУ «МФЦ», привлекаемой организации, учредителя ГАУ «МФЦ», рассмотревшего жалобу, должность, фамилия, имя, отчество (при наличии) его должностного лица, принявшего решение по жалобе;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фамилия, имя, отчество (при наличии) или наименование заявителя;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основания для принятия решения по жалобе;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принятое по жалобе решение;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сведения о порядке обжалования принятого по жалобе решения.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79.6.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муниципальные услуги, ГАУ «МФЦ», учредителя ГАУ «МФЦ», работником привлекаемой организации.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По желанию заявителя ответ по результатам рассмотрения жалобы может быть представлен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альную услугу, ГАУ «МФЦ», учредителя ГАУ «МФЦ» и (или) уполномоченной на рассмотрение жалобы привлекаемой организации, уполномоченного на рассмотрение жалобы работника привлекаемой организации, вид которой установлен законодательством Российской Федерации.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79.7. Уполномоченный на рассмотрение жалобы орган, предоставляющий муниципальную услугу, ГАУ «МФЦ», привлекаемая организация, учредитель ГАУ «МФЦ» отказывают в удовлетворении жалобы в следующих случаях: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наличие вступившего в законную силу решения суда, арбитражного суда по жалобе о том же предмете и по тем же основаниям;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подача жалобы лицом, полномочия которого не подтверждены в порядке, установленном законодательством Российской Федерации;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наличие решения по жалобе, принятого ранее в соответствии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 требованиями Правил подачи и рассмотрения жалоб на решения и действия (бездействия) органа, предоставляющего услугу (Администрации), должностного лица Администрации либо муниципального служащего в отношении того же заявителя и по тому же предмету жалобы.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79.8. Уполномоченный на рассмотрение жалобы орган, предоставляющий муниципальную услугу, ГАУ «МФЦ», привлекаемая организация, учредитель ГАУ «МФЦ» вправе оставить жалобу без ответа в следующих случаях: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79.9. Уполномоченный на рассмотрение жалобы орган, предоставляющий муниципальную услугу, ГАУ «МФЦ», привлекаемая организация, учредитель ГАУ «МФЦ» сообщают заявителю об оставлении жалобы без ответа в течение 3 рабочих дней со дня регистрации жалобы.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80. В случае уста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4" w:name="sub_1072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81. Решение об отказе в подготовке и выдаче разрешения на ввод объекта в эксплуатацию объекта капитального строительства может быть обжаловано заявителем в судебном порядке.</w:t>
      </w:r>
      <w:bookmarkEnd w:id="104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3. Право заявителя на получение информации и документов, необходимых для обоснования и рассмотрения жалобы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5" w:name="sub_1073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82. Заявитель имеет право на получение информации и документов, необходимых для обоснования и рассмотрения жалобы.</w:t>
      </w:r>
      <w:bookmarkEnd w:id="105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6" w:name="sub_1074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83. При желании заявителя обжаловать действие (бездей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ствие) должностного лица отдела архитектуры и градостроительства  специалиста ГАУ «МФЦ, последний обязан сообщить ему свою фамилию, имя, отчество и должность, и фамилию, имя, отчество и должность лица, которому могут быть обжалованы действия (бездействия).</w:t>
      </w:r>
      <w:bookmarkEnd w:id="106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7" w:name="sub_1075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84. Информация о порядке подачи и рассмотрения жалобы размещается на информационных стендах в местах предоставления услуги.</w:t>
      </w:r>
      <w:bookmarkEnd w:id="107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4"/>
        <w:pBdr/>
        <w:shd w:val="clear" w:color="auto" w:fill="ffffff"/>
        <w:spacing w:after="0" w:before="0" w:line="24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</w:rPr>
        <w:t xml:space="preserve">Подраздел 4. Исчерпывающий перечень оснований для приостановления рассмотрения жалобы</w:t>
      </w:r>
      <w:r>
        <w:rPr>
          <w:rFonts w:ascii="Arial" w:hAnsi="Arial" w:eastAsia="Arial" w:cs="Arial"/>
          <w:b/>
          <w:bCs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8" w:name="sub_1076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85. Основания для приостановления рассмотрения жалобы отсутствуют.</w:t>
      </w:r>
      <w:bookmarkEnd w:id="108"/>
      <w:r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left="3828"/>
        <w:jc w:val="both"/>
        <w:rPr/>
      </w:pPr>
      <w:r>
        <w:t xml:space="preserve"> </w:t>
      </w:r>
      <w:r/>
    </w:p>
    <w:p>
      <w:pPr>
        <w:widowControl w:val="false"/>
        <w:pBdr/>
        <w:spacing w:after="0" w:before="0"/>
        <w:ind w:left="3828"/>
        <w:jc w:val="both"/>
        <w:rPr/>
      </w:pPr>
      <w:r>
        <w:t xml:space="preserve"> </w:t>
      </w:r>
      <w:r/>
    </w:p>
    <w:p>
      <w:pPr>
        <w:widowControl w:val="false"/>
        <w:pBdr/>
        <w:spacing w:after="0" w:before="0"/>
        <w:ind w:left="3828"/>
        <w:jc w:val="both"/>
        <w:rPr/>
      </w:pPr>
      <w:r>
        <w:t xml:space="preserve"> </w:t>
      </w:r>
      <w:r/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/>
      <w:bookmarkStart w:id="109" w:name="sub_10000"/>
      <w:r/>
      <w:bookmarkEnd w:id="109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br w:type="page" w:clear="all"/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Приложение № 1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к Административному регламенту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администрации Тургеневского городского поселения по предоставлению муниципальной услуги "Перевод жилого (нежилого) помещения в нежилое (жилое) помещение»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698"/>
        <w:jc w:val="right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/>
        <w:rPr>
          <w:sz w:val="24"/>
          <w:szCs w:val="24"/>
        </w:rPr>
      </w:pPr>
      <w:r>
        <w:rPr>
          <w:rFonts w:ascii="Arial" w:hAnsi="Arial" w:eastAsia="Arial" w:cs="Arial"/>
        </w:rPr>
        <w:t xml:space="preserve">                              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sz w:val="24"/>
          <w:szCs w:val="24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Главе администрации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   Тургеневского городского поселения 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    ______________________________________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     (наименование организации)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   ______________________________________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    (Ф.И.О. полностью, адрес, паспорт, телефон)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    ______________________________________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   ______________________________________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         (номер свидетельства для ИП)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Заявление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    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Прошу Вас разрешить перевод жилого (нежилого)  помещения  в  нежилое (жилое) помещение, расположенного по адресу: ______________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________________________________________________________________________________________________________________________________,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 последующей перепланировкой (или переустройством) помещения под: ________________________________________________________________________________________________________________________________.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Способ получения ответа: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на руки___ по почте___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Число    Подпись    Ф.И.О.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0" w:before="0"/>
        <w:ind w:left="3828"/>
        <w:jc w:val="both"/>
        <w:rPr/>
      </w:pPr>
      <w:r/>
      <w:bookmarkStart w:id="110" w:name="sub_20000"/>
      <w:r/>
      <w:bookmarkEnd w:id="110"/>
      <w:r>
        <w:br w:type="page" w:clear="all"/>
      </w:r>
      <w:r>
        <w:t xml:space="preserve"> </w:t>
      </w:r>
      <w:r/>
    </w:p>
    <w:p>
      <w:pPr>
        <w:widowControl w:val="false"/>
        <w:pBdr/>
        <w:spacing w:after="0" w:before="0"/>
        <w:ind w:left="3828"/>
        <w:jc w:val="both"/>
        <w:rPr/>
      </w:pPr>
      <w:r>
        <w:t xml:space="preserve"> </w:t>
      </w:r>
      <w:r/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Приложение № 2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к Административному регламенту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администрации Тургеневского городского поселения  по предоставлению муниципальной услуги "Перевод жилого (нежилого) помещения в нежилое (жилое) помещение»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widowControl w:val="false"/>
        <w:pBdr/>
        <w:spacing w:after="108" w:before="0"/>
        <w:ind w:firstLine="698"/>
        <w:jc w:val="right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Style w:val="630"/>
        <w:keepNext w:val="false"/>
        <w:widowControl w:val="false"/>
        <w:pBdr/>
        <w:spacing w:after="108" w:before="108"/>
        <w:ind/>
        <w:jc w:val="center"/>
        <w:rPr>
          <w:b/>
          <w:bCs/>
        </w:rPr>
      </w:pPr>
      <w:r>
        <w:rPr>
          <w:rFonts w:ascii="Times New Roman" w:hAnsi="Times New Roman" w:eastAsia="Times New Roman" w:cs="Times New Roman"/>
          <w:i w:val="0"/>
          <w:sz w:val="24"/>
          <w:szCs w:val="24"/>
        </w:rPr>
        <w:t xml:space="preserve"> </w:t>
      </w:r>
      <w:r>
        <w:rPr>
          <w:b/>
          <w:bCs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Блок-схема</w:t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br/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процесса предоставления муниципальной услуги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widowControl w:val="false"/>
        <w:pBdr/>
        <w:spacing w:after="0" w:before="108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tbl>
      <w:tblPr>
        <w:tblInd w:w="10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587"/>
      </w:tblGrid>
      <w:tr>
        <w:trPr>
          <w:trHeight w:val="240"/>
        </w:trPr>
        <w:tc>
          <w:tcPr>
            <w:tcBorders/>
            <w:tcMar>
              <w:left w:w="108" w:type="dxa"/>
              <w:top w:w="22" w:type="dxa"/>
              <w:right w:w="108" w:type="dxa"/>
              <w:bottom w:w="22" w:type="dxa"/>
            </w:tcMar>
            <w:tcW w:w="8395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firstLine="72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3803015</wp:posOffset>
                      </wp:positionH>
                      <wp:positionV relativeFrom="paragraph">
                        <wp:posOffset>168910</wp:posOffset>
                      </wp:positionV>
                      <wp:extent cx="238125" cy="161925"/>
                      <wp:effectExtent l="0" t="0" r="0" b="0"/>
                      <wp:wrapNone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0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251660288;o:allowoverlap:true;o:allowincell:true;mso-position-horizontal-relative:text;margin-left:299.45pt;mso-position-horizontal:absolute;mso-position-vertical-relative:text;margin-top:13.30pt;mso-position-vertical:absolute;width:18.75pt;height:12.75pt;mso-wrap-distance-left:0.00pt;mso-wrap-distance-top:0.00pt;mso-wrap-distance-right:0.00pt;mso-wrap-distance-bottom:0.00pt;z-index:1;" stroked="false">
                      <v:imagedata r:id="rId23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Обращение заинтересованного лица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 w:firstLine="720"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42545</wp:posOffset>
                </wp:positionV>
                <wp:extent cx="76200" cy="161925"/>
                <wp:effectExtent l="0" t="0" r="0" b="0"/>
                <wp:wrapNone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76200" cy="161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9264;o:allowoverlap:true;o:allowincell:true;mso-position-horizontal-relative:text;margin-left:225.05pt;mso-position-horizontal:absolute;mso-position-vertical-relative:text;margin-top:3.35pt;mso-position-vertical:absolute;width:6.00pt;height:12.75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</w:rPr>
        <w:t xml:space="preserve"> </w:t>
      </w:r>
      <w:r/>
    </w:p>
    <w:tbl>
      <w:tblPr>
        <w:tblInd w:w="1072" w:type="dxa"/>
        <w:tblBorders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14"/>
        <w:gridCol w:w="681"/>
        <w:gridCol w:w="2812"/>
        <w:gridCol w:w="660"/>
        <w:gridCol w:w="2050"/>
      </w:tblGrid>
      <w:tr>
        <w:trPr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273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Единый портал государственных и муниципальных услуг (функций) Республики Мордовия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0" w:type="dxa"/>
              <w:right w:w="108" w:type="dxa"/>
              <w:bottom w:w="20" w:type="dxa"/>
            </w:tcMar>
            <w:tcW w:w="5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835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Администрация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Тургеневского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городского поселения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0" w:type="dxa"/>
              <w:right w:w="108" w:type="dxa"/>
              <w:bottom w:w="20" w:type="dxa"/>
            </w:tcMar>
            <w:tcW w:w="567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212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      <wp:simplePos x="0" y="0"/>
                      <wp:positionH relativeFrom="column">
                        <wp:posOffset>-2879090</wp:posOffset>
                      </wp:positionH>
                      <wp:positionV relativeFrom="paragraph">
                        <wp:posOffset>-182880</wp:posOffset>
                      </wp:positionV>
                      <wp:extent cx="238125" cy="161925"/>
                      <wp:effectExtent l="0" t="0" r="0" b="0"/>
                      <wp:wrapNone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0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position:absolute;z-index:251658240;o:allowoverlap:true;o:allowincell:true;mso-position-horizontal-relative:text;margin-left:-226.70pt;mso-position-horizontal:absolute;mso-position-vertical-relative:text;margin-top:-14.40pt;mso-position-vertical:absolute;width:18.75pt;height:12.75pt;mso-wrap-distance-left:0.00pt;mso-wrap-distance-top:0.00pt;mso-wrap-distance-right:0.00pt;mso-wrap-distance-bottom:0.00pt;z-index:1;" stroked="false">
                      <v:imagedata r:id="rId25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ГАУ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«МФЦ»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 w:firstLine="720"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438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71120</wp:posOffset>
                </wp:positionV>
                <wp:extent cx="619125" cy="247650"/>
                <wp:effectExtent l="0" t="0" r="0" b="0"/>
                <wp:wrapNone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4384;o:allowoverlap:true;o:allowincell:true;mso-position-horizontal-relative:text;margin-left:71.55pt;mso-position-horizontal:absolute;mso-position-vertical-relative:text;margin-top:5.60pt;mso-position-vertical:absolute;width:48.75pt;height:19.50pt;mso-wrap-distance-left:0.00pt;mso-wrap-distance-top:0.00pt;mso-wrap-distance-right:0.00pt;mso-wrap-distance-bottom:0.00pt;z-index:1;" stroked="false">
                <v:imagedata r:id="rId26" o:title=""/>
                <o:lock v:ext="edit" rotation="t"/>
              </v:shape>
            </w:pict>
          </mc:Fallback>
        </mc:AlternateContent>
      </w: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5408" behindDoc="0" locked="0" layoutInCell="1" allowOverlap="1">
                <wp:simplePos x="0" y="0"/>
                <wp:positionH relativeFrom="column">
                  <wp:posOffset>4267835</wp:posOffset>
                </wp:positionH>
                <wp:positionV relativeFrom="paragraph">
                  <wp:posOffset>71120</wp:posOffset>
                </wp:positionV>
                <wp:extent cx="542925" cy="247650"/>
                <wp:effectExtent l="0" t="0" r="0" b="0"/>
                <wp:wrapNone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42925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65408;o:allowoverlap:true;o:allowincell:true;mso-position-horizontal-relative:text;margin-left:336.05pt;mso-position-horizontal:absolute;mso-position-vertical-relative:text;margin-top:5.60pt;mso-position-vertical:absolute;width:42.75pt;height:19.50pt;mso-wrap-distance-left:0.00pt;mso-wrap-distance-top:0.00pt;mso-wrap-distance-right:0.00pt;mso-wrap-distance-bottom:0.00pt;z-index:1;" stroked="false">
                <v:imagedata r:id="rId27" o:title=""/>
                <o:lock v:ext="edit" rotation="t"/>
              </v:shape>
            </w:pict>
          </mc:Fallback>
        </mc:AlternateContent>
      </w: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6432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-5080</wp:posOffset>
                </wp:positionV>
                <wp:extent cx="76200" cy="161925"/>
                <wp:effectExtent l="0" t="0" r="0" b="0"/>
                <wp:wrapNone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76200" cy="161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66432;o:allowoverlap:true;o:allowincell:true;mso-position-horizontal-relative:text;margin-left:231.05pt;mso-position-horizontal:absolute;mso-position-vertical-relative:text;margin-top:-0.40pt;mso-position-vertical:absolute;width:6.00pt;height:12.75pt;mso-wrap-distance-left:0.00pt;mso-wrap-distance-top:0.00pt;mso-wrap-distance-right:0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</w:rPr>
        <w:t xml:space="preserve"> </w:t>
      </w:r>
      <w:r/>
    </w:p>
    <w:tbl>
      <w:tblPr>
        <w:tblInd w:w="33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225"/>
      </w:tblGrid>
      <w:tr>
        <w:trPr>
          <w:trHeight w:val="360"/>
        </w:trPr>
        <w:tc>
          <w:tcPr>
            <w:tcBorders/>
            <w:tcMar>
              <w:left w:w="108" w:type="dxa"/>
              <w:top w:w="22" w:type="dxa"/>
              <w:right w:w="108" w:type="dxa"/>
              <w:bottom w:w="22" w:type="dxa"/>
            </w:tcMar>
            <w:tcW w:w="396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firstLine="33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Прием и регистрация документов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и передача Главе администрации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Тургеневского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городского поселения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(1 рабочий день следующий за днем приема документов)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 w:firstLine="720"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0" locked="0" layoutInCell="1" allowOverlap="1">
                <wp:simplePos x="0" y="0"/>
                <wp:positionH relativeFrom="column">
                  <wp:posOffset>2858135</wp:posOffset>
                </wp:positionH>
                <wp:positionV relativeFrom="paragraph">
                  <wp:posOffset>6350</wp:posOffset>
                </wp:positionV>
                <wp:extent cx="76200" cy="314325"/>
                <wp:effectExtent l="0" t="0" r="0" b="0"/>
                <wp:wrapNone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762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61312;o:allowoverlap:true;o:allowincell:true;mso-position-horizontal-relative:text;margin-left:225.05pt;mso-position-horizontal:absolute;mso-position-vertical-relative:text;margin-top:0.50pt;mso-position-vertical:absolute;width:6.00pt;height:24.75pt;mso-wrap-distance-left:0.00pt;mso-wrap-distance-top:0.00pt;mso-wrap-distance-right:0.00pt;mso-wrap-distance-bottom:0.00pt;z-index:1;" stroked="false">
                <v:imagedata r:id="rId28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tbl>
      <w:tblPr>
        <w:tblInd w:w="33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225"/>
      </w:tblGrid>
      <w:tr>
        <w:trPr>
          <w:trHeight w:val="240"/>
        </w:trPr>
        <w:tc>
          <w:tcPr>
            <w:tcBorders/>
            <w:tcMar>
              <w:left w:w="108" w:type="dxa"/>
              <w:top w:w="22" w:type="dxa"/>
              <w:right w:w="108" w:type="dxa"/>
              <w:bottom w:w="22" w:type="dxa"/>
            </w:tcMar>
            <w:tcW w:w="3969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Рассмотрение заявления Главой администрации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Тургеневского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городского поселения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 передача в отдел архитектуры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 градостроительства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администрации (1 день)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0" locked="0" layoutInCell="1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13970</wp:posOffset>
                </wp:positionV>
                <wp:extent cx="76200" cy="314325"/>
                <wp:effectExtent l="0" t="0" r="0" b="0"/>
                <wp:wrapNone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7620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662336;o:allowoverlap:true;o:allowincell:true;mso-position-horizontal-relative:text;margin-left:261.05pt;mso-position-horizontal:absolute;mso-position-vertical-relative:text;margin-top:1.10pt;mso-position-vertical:absolute;width:6.00pt;height:24.75pt;mso-wrap-distance-left:0.00pt;mso-wrap-distance-top:0.00pt;mso-wrap-distance-right:0.00pt;mso-wrap-distance-bottom:0.00pt;z-index:1;" stroked="false">
                <v:imagedata r:id="rId28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tbl>
      <w:tblPr>
        <w:tblInd w:w="33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16"/>
      </w:tblGrid>
      <w:tr>
        <w:trPr>
          <w:trHeight w:val="720"/>
        </w:trPr>
        <w:tc>
          <w:tcPr>
            <w:tcBorders/>
            <w:tcMar>
              <w:left w:w="108" w:type="dxa"/>
              <w:top w:w="22" w:type="dxa"/>
              <w:right w:w="108" w:type="dxa"/>
              <w:bottom w:w="22" w:type="dxa"/>
            </w:tcMar>
            <w:tcW w:w="4060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Рассмотрение заявления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начальником отдела архитектуры и градостроительства администрации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 передача специалисту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(1 день)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745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-5715</wp:posOffset>
                </wp:positionV>
                <wp:extent cx="314325" cy="390525"/>
                <wp:effectExtent l="0" t="0" r="0" b="0"/>
                <wp:wrapNone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251667456;o:allowoverlap:true;o:allowincell:true;mso-position-horizontal-relative:text;margin-left:132.00pt;mso-position-horizontal:absolute;mso-position-vertical-relative:text;margin-top:-0.45pt;mso-position-vertical:absolute;width:24.75pt;height:30.75pt;mso-wrap-distance-left:0.00pt;mso-wrap-distance-top:0.00pt;mso-wrap-distance-right:0.00pt;mso-wrap-distance-bottom:0.00pt;z-index:1;" stroked="false">
                <v:imagedata r:id="rId29" o:title=""/>
                <o:lock v:ext="edit" rotation="t"/>
              </v:shape>
            </w:pict>
          </mc:Fallback>
        </mc:AlternateContent>
      </w: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3360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-5715</wp:posOffset>
                </wp:positionV>
                <wp:extent cx="314325" cy="390525"/>
                <wp:effectExtent l="0" t="0" r="0" b="0"/>
                <wp:wrapNone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251663360;o:allowoverlap:true;o:allowincell:true;mso-position-horizontal-relative:text;margin-left:293.50pt;mso-position-horizontal:absolute;mso-position-vertical-relative:text;margin-top:-0.45pt;mso-position-vertical:absolute;width:24.75pt;height:30.75pt;mso-wrap-distance-left:0.00pt;mso-wrap-distance-top:0.00pt;mso-wrap-distance-right:0.00pt;mso-wrap-distance-bottom:0.00pt;z-index:1;" stroked="false">
                <v:imagedata r:id="rId30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tbl>
      <w:tblPr>
        <w:tblpPr w:horzAnchor="text" w:tblpXSpec="left" w:vertAnchor="text" w:tblpY="1" w:leftFromText="180" w:topFromText="0" w:rightFromText="180" w:bottomFromText="0"/>
        <w:tblOverlap w:val="never"/>
        <w:tblBorders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13"/>
        <w:gridCol w:w="1080"/>
        <w:gridCol w:w="3660"/>
      </w:tblGrid>
      <w:tr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3652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hanging="13" w:left="13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Рассмотрение заявления специалистом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22 дня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 w:firstLine="72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0" w:type="dxa"/>
              <w:right w:w="108" w:type="dxa"/>
              <w:bottom w:w="20" w:type="dxa"/>
            </w:tcMar>
            <w:tcW w:w="851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hanging="13" w:left="13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6848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411480</wp:posOffset>
                      </wp:positionV>
                      <wp:extent cx="466725" cy="76200"/>
                      <wp:effectExtent l="0" t="0" r="0" b="0"/>
                      <wp:wrapNone/>
                      <wp:docPr id="1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2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66725" cy="76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position:absolute;z-index:251668480;o:allowoverlap:true;o:allowincell:true;mso-position-horizontal-relative:text;margin-left:-2.40pt;mso-position-horizontal:absolute;mso-position-vertical-relative:text;margin-top:32.40pt;mso-position-vertical:absolute;width:36.75pt;height:6.00pt;mso-wrap-distance-left:0.00pt;mso-wrap-distance-top:0.00pt;mso-wrap-distance-right:0.00pt;mso-wrap-distance-bottom:0.00pt;z-index:1;" stroked="false">
                      <v:imagedata r:id="rId3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3402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 w:hanging="13" w:left="13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Подготовка и согласование проекта постановления и уведомления о переводе жилого (нежилого) помещения 20 дней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1552" behindDoc="0" locked="0" layoutInCell="1" allowOverlap="1">
                <wp:simplePos x="0" y="0"/>
                <wp:positionH relativeFrom="column">
                  <wp:posOffset>-4352290</wp:posOffset>
                </wp:positionH>
                <wp:positionV relativeFrom="paragraph">
                  <wp:posOffset>47625</wp:posOffset>
                </wp:positionV>
                <wp:extent cx="76200" cy="390525"/>
                <wp:effectExtent l="0" t="0" r="0" b="0"/>
                <wp:wrapNone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76200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position:absolute;z-index:251671552;o:allowoverlap:true;o:allowincell:true;mso-position-horizontal-relative:text;margin-left:-342.70pt;mso-position-horizontal:absolute;mso-position-vertical-relative:text;margin-top:3.75pt;mso-position-vertical:absolute;width:6.00pt;height:30.75pt;mso-wrap-distance-left:0.00pt;mso-wrap-distance-top:0.00pt;mso-wrap-distance-right:0.00pt;mso-wrap-distance-bottom:0.00pt;z-index:1;" stroked="false">
                <v:imagedata r:id="rId32" o:title=""/>
                <o:lock v:ext="edit" rotation="t"/>
              </v:shape>
            </w:pict>
          </mc:Fallback>
        </mc:AlternateContent>
      </w:r>
      <w:r>
        <w:rPr>
          <w:strike w:val="0"/>
          <w:u w:val="none"/>
        </w:rPr>
        <w:br/>
      </w: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widowControl w:val="false"/>
        <w:pBdr/>
        <w:spacing w:after="0" w:before="0"/>
        <w:ind w:firstLine="720"/>
        <w:jc w:val="both"/>
        <w:rPr/>
      </w:pPr>
      <w:r>
        <w:rPr>
          <w:strike w:val="0"/>
          <w:u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9504" behindDoc="0" locked="0" layoutInCell="1" allowOverlap="1">
                <wp:simplePos x="0" y="0"/>
                <wp:positionH relativeFrom="column">
                  <wp:posOffset>-4428490</wp:posOffset>
                </wp:positionH>
                <wp:positionV relativeFrom="paragraph">
                  <wp:posOffset>92710</wp:posOffset>
                </wp:positionV>
                <wp:extent cx="76200" cy="466725"/>
                <wp:effectExtent l="0" t="0" r="0" b="0"/>
                <wp:wrapNone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76200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z-index:251669504;o:allowoverlap:true;o:allowincell:true;mso-position-horizontal-relative:text;margin-left:-348.70pt;mso-position-horizontal:absolute;mso-position-vertical-relative:text;margin-top:7.30pt;mso-position-vertical:absolute;width:6.00pt;height:36.75pt;mso-wrap-distance-left:0.00pt;mso-wrap-distance-top:0.00pt;mso-wrap-distance-right:0.00pt;mso-wrap-distance-bottom:0.00pt;z-index:1;" stroked="false">
                <v:imagedata r:id="rId33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</w:rPr>
        <w:t xml:space="preserve"> </w:t>
      </w:r>
      <w:r/>
    </w:p>
    <w:tbl>
      <w:tblPr>
        <w:tblInd w:w="678" w:type="dxa"/>
        <w:tblBorders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94"/>
        <w:gridCol w:w="947"/>
        <w:gridCol w:w="3703"/>
      </w:tblGrid>
      <w:tr>
        <w:trPr>
          <w:trHeight w:val="96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3633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Подготовка и согласование обоснованного отказа (20 дней)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widowControl w:val="false"/>
              <w:pBdr/>
              <w:spacing w:after="0" w:before="0"/>
              <w:ind w:firstLine="72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108" w:type="dxa"/>
              <w:top w:w="20" w:type="dxa"/>
              <w:right w:w="108" w:type="dxa"/>
              <w:bottom w:w="20" w:type="dxa"/>
            </w:tcMar>
            <w:tcW w:w="720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7052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355854</wp:posOffset>
                      </wp:positionV>
                      <wp:extent cx="390525" cy="76200"/>
                      <wp:effectExtent l="0" t="0" r="0" b="0"/>
                      <wp:wrapNone/>
                      <wp:docPr id="1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2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0525" cy="76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position:absolute;z-index:251670528;o:allowoverlap:true;o:allowincell:true;mso-position-horizontal-relative:text;margin-left:-5.65pt;mso-position-horizontal:absolute;mso-position-vertical-relative:text;margin-top:28.02pt;mso-position-vertical:absolute;width:30.75pt;height:6.00pt;mso-wrap-distance-left:0.00pt;mso-wrap-distance-top:0.00pt;mso-wrap-distance-right:0.00pt;mso-wrap-distance-bottom:0.00pt;z-index:1;" stroked="false">
                      <v:imagedata r:id="rId3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22" w:type="dxa"/>
              <w:right w:w="108" w:type="dxa"/>
              <w:bottom w:w="22" w:type="dxa"/>
            </w:tcMar>
            <w:tcW w:w="3444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Выдача результата предоставления муниципальной услуги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widowControl w:val="false"/>
        <w:pBdr/>
        <w:spacing w:after="0" w:before="0"/>
        <w:ind w:firstLine="720"/>
        <w:jc w:val="both"/>
        <w:rPr/>
      </w:pPr>
      <w:r>
        <w:rPr>
          <w:rFonts w:ascii="Times New Roman" w:hAnsi="Times New Roman" w:eastAsia="Times New Roman" w:cs="Times New Roman"/>
        </w:rPr>
        <w:t xml:space="preserve"> </w:t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36"/>
    <w:link w:val="6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6"/>
    <w:link w:val="6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6"/>
    <w:link w:val="6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6"/>
    <w:link w:val="6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6"/>
    <w:link w:val="6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6"/>
    <w:link w:val="6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6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6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6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6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6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6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6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6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6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6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6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6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  <w:rPr>
      <w:sz w:val="24"/>
      <w:szCs w:val="24"/>
    </w:rPr>
  </w:style>
  <w:style w:type="paragraph" w:styleId="630">
    <w:name w:val="Heading 1"/>
    <w:basedOn w:val="629"/>
    <w:next w:val="629"/>
    <w:qFormat/>
    <w:pPr>
      <w:keepNext w:val="true"/>
      <w:pBdr/>
      <w:spacing w:after="60" w:before="240"/>
      <w:ind/>
      <w:outlineLvl w:val="0"/>
    </w:pPr>
    <w:rPr>
      <w:rFonts w:ascii="Times New Roman" w:hAnsi="Times New Roman" w:eastAsia="Times New Roman" w:cs="Times New Roman"/>
      <w:b/>
      <w:bCs/>
      <w:i w:val="0"/>
      <w:sz w:val="48"/>
      <w:szCs w:val="48"/>
    </w:rPr>
  </w:style>
  <w:style w:type="paragraph" w:styleId="631">
    <w:name w:val="Heading 2"/>
    <w:basedOn w:val="629"/>
    <w:next w:val="629"/>
    <w:qFormat/>
    <w:pPr>
      <w:keepNext w:val="true"/>
      <w:pBdr/>
      <w:spacing w:after="60" w:before="240"/>
      <w:ind/>
      <w:outlineLvl w:val="1"/>
    </w:pPr>
    <w:rPr>
      <w:rFonts w:ascii="Times New Roman" w:hAnsi="Times New Roman" w:eastAsia="Times New Roman" w:cs="Times New Roman"/>
      <w:b/>
      <w:bCs/>
      <w:i w:val="0"/>
      <w:iCs/>
      <w:sz w:val="36"/>
      <w:szCs w:val="36"/>
    </w:rPr>
  </w:style>
  <w:style w:type="paragraph" w:styleId="632">
    <w:name w:val="Heading 3"/>
    <w:basedOn w:val="629"/>
    <w:next w:val="629"/>
    <w:qFormat/>
    <w:pPr>
      <w:keepNext w:val="true"/>
      <w:pBdr/>
      <w:spacing w:after="60" w:before="240"/>
      <w:ind/>
      <w:outlineLvl w:val="2"/>
    </w:pPr>
    <w:rPr>
      <w:rFonts w:ascii="Times New Roman" w:hAnsi="Times New Roman" w:eastAsia="Times New Roman" w:cs="Times New Roman"/>
      <w:b/>
      <w:bCs/>
      <w:i w:val="0"/>
      <w:sz w:val="28"/>
      <w:szCs w:val="28"/>
    </w:rPr>
  </w:style>
  <w:style w:type="paragraph" w:styleId="633">
    <w:name w:val="Heading 4"/>
    <w:basedOn w:val="629"/>
    <w:next w:val="629"/>
    <w:qFormat/>
    <w:pPr>
      <w:keepNext w:val="true"/>
      <w:pBdr/>
      <w:spacing w:after="60" w:before="240"/>
      <w:ind/>
      <w:outlineLvl w:val="3"/>
    </w:pPr>
    <w:rPr>
      <w:rFonts w:ascii="Times New Roman" w:hAnsi="Times New Roman" w:eastAsia="Times New Roman" w:cs="Times New Roman"/>
      <w:b/>
      <w:bCs/>
      <w:i w:val="0"/>
      <w:sz w:val="24"/>
      <w:szCs w:val="24"/>
    </w:rPr>
  </w:style>
  <w:style w:type="paragraph" w:styleId="634">
    <w:name w:val="Heading 5"/>
    <w:basedOn w:val="629"/>
    <w:next w:val="629"/>
    <w:qFormat/>
    <w:pPr>
      <w:pBdr/>
      <w:spacing w:after="60" w:before="240"/>
      <w:ind/>
      <w:outlineLvl w:val="4"/>
    </w:pPr>
    <w:rPr>
      <w:rFonts w:ascii="Times New Roman" w:hAnsi="Times New Roman" w:eastAsia="Times New Roman" w:cs="Times New Roman"/>
      <w:b/>
      <w:bCs/>
      <w:i w:val="0"/>
      <w:iCs/>
      <w:sz w:val="20"/>
      <w:szCs w:val="20"/>
    </w:rPr>
  </w:style>
  <w:style w:type="paragraph" w:styleId="635">
    <w:name w:val="Heading 6"/>
    <w:basedOn w:val="629"/>
    <w:next w:val="629"/>
    <w:qFormat/>
    <w:pPr>
      <w:pBdr/>
      <w:spacing w:after="60" w:before="240"/>
      <w:ind/>
      <w:outlineLvl w:val="5"/>
    </w:pPr>
    <w:rPr>
      <w:rFonts w:ascii="Times New Roman" w:hAnsi="Times New Roman" w:eastAsia="Times New Roman" w:cs="Times New Roman"/>
      <w:b/>
      <w:bCs/>
      <w:i w:val="0"/>
      <w:sz w:val="16"/>
      <w:szCs w:val="16"/>
    </w:rPr>
  </w:style>
  <w:style w:type="character" w:styleId="636" w:default="1">
    <w:name w:val="Default Paragraph Font"/>
    <w:semiHidden/>
    <w:pPr>
      <w:pBdr/>
      <w:spacing/>
      <w:ind/>
    </w:pPr>
  </w:style>
  <w:style w:type="table" w:styleId="63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8" w:customStyle="1">
    <w:name w:val="Глава НПА"/>
    <w:link w:val="639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28"/>
      <w:szCs w:val="24"/>
      <w:lang w:val="ru-RU"/>
    </w:rPr>
  </w:style>
  <w:style w:type="character" w:styleId="639" w:customStyle="1">
    <w:name w:val="Глава НПА Знак"/>
    <w:link w:val="638"/>
    <w:pPr>
      <w:pBdr/>
      <w:spacing/>
      <w:ind/>
    </w:pPr>
    <w:rPr>
      <w:rFonts w:ascii="Arial" w:hAnsi="Arial" w:cs="Arial" w:eastAsiaTheme="minorHAnsi"/>
      <w:b/>
      <w:bCs/>
      <w:sz w:val="28"/>
      <w:szCs w:val="24"/>
      <w:lang w:val="ru-RU"/>
    </w:rPr>
  </w:style>
  <w:style w:type="paragraph" w:styleId="640" w:customStyle="1">
    <w:name w:val="Наименование НПА"/>
    <w:link w:val="641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641" w:customStyle="1">
    <w:name w:val="Наименование НПА Знак"/>
    <w:link w:val="640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642" w:customStyle="1">
    <w:name w:val="Орган принятия НПА"/>
    <w:link w:val="643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643" w:customStyle="1">
    <w:name w:val="Орган принятия НПА Знак"/>
    <w:basedOn w:val="636"/>
    <w:link w:val="642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644" w:customStyle="1">
    <w:name w:val="Подпись НПА"/>
    <w:link w:val="645"/>
    <w:qFormat/>
    <w:pPr>
      <w:pBdr/>
      <w:shd w:val="clear" w:color="auto" w:fill="ffffff"/>
      <w:spacing w:line="360" w:lineRule="atLeast"/>
      <w:ind/>
      <w:jc w:val="right"/>
    </w:pPr>
    <w:rPr>
      <w:rFonts w:ascii="Arial" w:hAnsi="Arial" w:cs="Arial"/>
      <w:sz w:val="24"/>
      <w:szCs w:val="24"/>
      <w:lang w:val="ru-RU" w:eastAsia="ru-RU"/>
    </w:rPr>
  </w:style>
  <w:style w:type="character" w:styleId="645" w:customStyle="1">
    <w:name w:val="Подпись НПА Знак"/>
    <w:basedOn w:val="636"/>
    <w:link w:val="644"/>
    <w:pPr>
      <w:pBdr/>
      <w:spacing/>
      <w:ind/>
    </w:pPr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styleId="646" w:customStyle="1">
    <w:name w:val="Приложение НПА"/>
    <w:link w:val="647"/>
    <w:qFormat/>
    <w:pPr>
      <w:pBdr/>
      <w:spacing w:line="320" w:lineRule="atLeast"/>
      <w:ind/>
      <w:jc w:val="right"/>
    </w:pPr>
    <w:rPr>
      <w:rFonts w:ascii="Arial" w:hAnsi="Arial" w:cs="Arial" w:eastAsiaTheme="minorHAnsi"/>
      <w:bCs/>
      <w:sz w:val="24"/>
      <w:szCs w:val="24"/>
      <w:lang w:val="ru-RU"/>
    </w:rPr>
  </w:style>
  <w:style w:type="character" w:styleId="647" w:customStyle="1">
    <w:name w:val="Приложение НПА Знак"/>
    <w:link w:val="646"/>
    <w:pPr>
      <w:pBdr/>
      <w:spacing/>
      <w:ind/>
    </w:pPr>
    <w:rPr>
      <w:rFonts w:ascii="Arial" w:hAnsi="Arial" w:cs="Arial" w:eastAsiaTheme="minorHAnsi"/>
      <w:bCs/>
      <w:sz w:val="24"/>
      <w:szCs w:val="24"/>
      <w:lang w:val="ru-RU"/>
    </w:rPr>
  </w:style>
  <w:style w:type="paragraph" w:styleId="648" w:customStyle="1">
    <w:name w:val="Раздел НПА"/>
    <w:link w:val="649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649" w:customStyle="1">
    <w:name w:val="Раздел НПА Знак"/>
    <w:link w:val="648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650" w:customStyle="1">
    <w:name w:val="Статья НПА"/>
    <w:link w:val="651"/>
    <w:qFormat/>
    <w:pPr>
      <w:pBdr/>
      <w:spacing w:line="360" w:lineRule="atLeast"/>
      <w:ind/>
      <w:jc w:val="both"/>
    </w:pPr>
    <w:rPr>
      <w:rFonts w:ascii="Arial" w:hAnsi="Arial" w:cs="Arial" w:eastAsiaTheme="minorHAnsi"/>
      <w:b/>
      <w:bCs/>
      <w:sz w:val="24"/>
      <w:szCs w:val="24"/>
      <w:lang w:val="ru-RU"/>
    </w:rPr>
  </w:style>
  <w:style w:type="character" w:styleId="651" w:customStyle="1">
    <w:name w:val="Статья НПА Знак"/>
    <w:link w:val="650"/>
    <w:pPr>
      <w:pBdr/>
      <w:spacing/>
      <w:ind/>
    </w:pPr>
    <w:rPr>
      <w:rFonts w:ascii="Arial" w:hAnsi="Arial" w:cs="Arial" w:eastAsiaTheme="minorHAnsi"/>
      <w:b/>
      <w:bCs/>
      <w:sz w:val="24"/>
      <w:szCs w:val="24"/>
      <w:lang w:val="ru-RU"/>
    </w:rPr>
  </w:style>
  <w:style w:type="paragraph" w:styleId="652" w:customStyle="1">
    <w:name w:val="Текст НПА"/>
    <w:link w:val="653"/>
    <w:qFormat/>
    <w:pPr>
      <w:pBdr/>
      <w:spacing w:line="360" w:lineRule="atLeast"/>
      <w:ind w:firstLine="709"/>
      <w:jc w:val="both"/>
    </w:pPr>
    <w:rPr>
      <w:rFonts w:ascii="Arial" w:hAnsi="Arial" w:cs="Arial" w:eastAsiaTheme="minorHAnsi"/>
      <w:bCs/>
      <w:sz w:val="24"/>
      <w:szCs w:val="24"/>
      <w:lang w:val="ru-RU"/>
    </w:rPr>
  </w:style>
  <w:style w:type="character" w:styleId="653" w:customStyle="1">
    <w:name w:val="Текст НПА Знак"/>
    <w:link w:val="652"/>
    <w:pPr>
      <w:pBdr/>
      <w:spacing/>
      <w:ind/>
    </w:pPr>
    <w:rPr>
      <w:rFonts w:ascii="Arial" w:hAnsi="Arial" w:cs="Arial" w:eastAsiaTheme="minorHAnsi"/>
      <w:bCs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rnla-service.scli.ru:8080/rnla-links/ws/content/act/96e20c02-1b12-465a-b64c-24aa92270007.html" TargetMode="External"/><Relationship Id="rId9" Type="http://schemas.openxmlformats.org/officeDocument/2006/relationships/hyperlink" Target="http://rnla-service.scli.ru:8080/rnla-links/ws/content/act/bba0bfb1-06c7-4e50-a8d3-fe1045784bf1.html" TargetMode="External"/><Relationship Id="rId10" Type="http://schemas.openxmlformats.org/officeDocument/2006/relationships/hyperlink" Target="http://rnla-service.scli.ru:8080/rnla-links/ws/content/act/bba0bfb1-06c7-4e50-a8d3-fe1045784bf1.html" TargetMode="External"/><Relationship Id="rId11" Type="http://schemas.openxmlformats.org/officeDocument/2006/relationships/hyperlink" Target="http://rnla-service.scli.ru:8080/rnla-links/ws/content/act/15d4560c-d530-4955-bf7e-f734337ae80b.html" TargetMode="External"/><Relationship Id="rId12" Type="http://schemas.openxmlformats.org/officeDocument/2006/relationships/hyperlink" Target="http://rnla-service.scli.ru:8080/rnla-links/ws/content/act/370ba400-14c4-4cdb-8a8b-b11f2a1a2f55.html" TargetMode="External"/><Relationship Id="rId13" Type="http://schemas.openxmlformats.org/officeDocument/2006/relationships/hyperlink" Target="http://rnla-service.scli.ru:8080/rnla-links/ws/content/act/bba0bfb1-06c7-4e50-a8d3-fe1045784bf1.html" TargetMode="External"/><Relationship Id="rId14" Type="http://schemas.openxmlformats.org/officeDocument/2006/relationships/hyperlink" Target="http://rnla-service.scli.ru:8080/rnla-links/ws/content/act/17efdf25-592a-4662-871d-9782b1a135cf.html" TargetMode="External"/><Relationship Id="rId15" Type="http://schemas.openxmlformats.org/officeDocument/2006/relationships/hyperlink" Target="http://rnla-service.scli.ru:8080/rnla-links/ws/content/act/0a02e7ab-81dc-427b-9bb7-abfb1e14bdf3.html" TargetMode="External"/><Relationship Id="rId16" Type="http://schemas.openxmlformats.org/officeDocument/2006/relationships/hyperlink" Target="http://rnla-service.scli.ru:8080/rnla-links/ws/content/act/96e20c02-1b12-465a-b64c-24aa92270007.html" TargetMode="External"/><Relationship Id="rId17" Type="http://schemas.openxmlformats.org/officeDocument/2006/relationships/hyperlink" Target="http://rnla-service.scli.ru:8080/rnla-links/ws/content/act/e999dcf9-926b-4fa1-9b51-8fd631c66b00.html" TargetMode="External"/><Relationship Id="rId18" Type="http://schemas.openxmlformats.org/officeDocument/2006/relationships/hyperlink" Target="http://rnla-service.scli.ru:8080/rnla-links/ws/content/act/2900efab-4767-43a3-821c-3cac827332ef.html" TargetMode="External"/><Relationship Id="rId19" Type="http://schemas.openxmlformats.org/officeDocument/2006/relationships/hyperlink" Target="http://rnla-service.scli.ru:8080/rnla-links/ws/content/act/59d3b1ab-84c2-477c-a949-86e8f301e414.html" TargetMode="External"/><Relationship Id="rId20" Type="http://schemas.openxmlformats.org/officeDocument/2006/relationships/hyperlink" Target="http://rnla-service.scli.ru:8080/rnla-links/ws/content/act/370ba400-14c4-4cdb-8a8b-b11f2a1a2f55.html" TargetMode="External"/><Relationship Id="rId21" Type="http://schemas.openxmlformats.org/officeDocument/2006/relationships/hyperlink" Target="http://rnla-service.scli.ru:8080/rnla-links/ws/content/act/370ba400-14c4-4cdb-8a8b-b11f2a1a2f55.html" TargetMode="External"/><Relationship Id="rId22" Type="http://schemas.openxmlformats.org/officeDocument/2006/relationships/hyperlink" Target="http://rnla-service.scli.ru:8080/rnla-links/ws/content/act/e999dcf9-926b-4fa1-9b51-8fd631c66b00.html" TargetMode="External"/><Relationship Id="rId23" Type="http://schemas.openxmlformats.org/officeDocument/2006/relationships/image" Target="media/image1.png"/><Relationship Id="rId24" Type="http://schemas.openxmlformats.org/officeDocument/2006/relationships/image" Target="media/image2.png"/><Relationship Id="rId25" Type="http://schemas.openxmlformats.org/officeDocument/2006/relationships/image" Target="media/image3.png"/><Relationship Id="rId26" Type="http://schemas.openxmlformats.org/officeDocument/2006/relationships/image" Target="media/image4.png"/><Relationship Id="rId27" Type="http://schemas.openxmlformats.org/officeDocument/2006/relationships/image" Target="media/image5.png"/><Relationship Id="rId28" Type="http://schemas.openxmlformats.org/officeDocument/2006/relationships/image" Target="media/image6.png"/><Relationship Id="rId29" Type="http://schemas.openxmlformats.org/officeDocument/2006/relationships/image" Target="media/image7.png"/><Relationship Id="rId30" Type="http://schemas.openxmlformats.org/officeDocument/2006/relationships/image" Target="media/image8.png"/><Relationship Id="rId31" Type="http://schemas.openxmlformats.org/officeDocument/2006/relationships/image" Target="media/image9.png"/><Relationship Id="rId32" Type="http://schemas.openxmlformats.org/officeDocument/2006/relationships/image" Target="media/image10.png"/><Relationship Id="rId33" Type="http://schemas.openxmlformats.org/officeDocument/2006/relationships/image" Target="media/image11.png"/><Relationship Id="rId34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onlyoffice/8.1.3.1</Application>
  <Company/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2025-04-08T06:32:11Z</dcterms:modified>
</cp:coreProperties>
</file>